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57433BB3" w:rsidR="00302667" w:rsidRDefault="003C0403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Bentley University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57433BB3" w:rsidR="00302667" w:rsidRDefault="003C0403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Bentley University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3644E888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3C0403" w:rsidRPr="004406C1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3C0403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6AF459D0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3C0403" w:rsidRPr="004406C1">
          <w:rPr>
            <w:rStyle w:val="Hyperlink"/>
            <w:rFonts w:cstheme="minorHAnsi"/>
            <w:sz w:val="22"/>
            <w:szCs w:val="22"/>
          </w:rPr>
          <w:t>www.myhyke.com/bentley2024</w:t>
        </w:r>
      </w:hyperlink>
      <w:r w:rsidR="003C0403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1BF3E2DB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20824436" w14:textId="225ABA36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3C0403" w:rsidRPr="004406C1">
          <w:rPr>
            <w:rStyle w:val="Hyperlink"/>
            <w:sz w:val="22"/>
            <w:szCs w:val="22"/>
          </w:rPr>
          <w:t>www.myhyke.com/bentley2024</w:t>
        </w:r>
      </w:hyperlink>
      <w:r w:rsidR="003C04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1BED65CA" w14:textId="77777777" w:rsidR="00853130" w:rsidRDefault="00853130" w:rsidP="002077B8">
      <w:pPr>
        <w:spacing w:after="0"/>
        <w:rPr>
          <w:sz w:val="22"/>
          <w:szCs w:val="22"/>
        </w:rPr>
      </w:pP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22C0E0A1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3C0403" w:rsidRPr="004406C1">
          <w:rPr>
            <w:rStyle w:val="Hyperlink"/>
            <w:sz w:val="22"/>
            <w:szCs w:val="22"/>
          </w:rPr>
          <w:t>www.myhyke.com/bentley2024</w:t>
        </w:r>
      </w:hyperlink>
      <w:r w:rsidR="003C0403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7926A7F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3C0403" w:rsidRPr="004406C1">
          <w:rPr>
            <w:rStyle w:val="Hyperlink"/>
            <w:sz w:val="22"/>
            <w:szCs w:val="22"/>
          </w:rPr>
          <w:t>www.myhyke.com/bentley2024</w:t>
        </w:r>
      </w:hyperlink>
      <w:r w:rsidR="003C0403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66D23C47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3C0403" w:rsidRPr="004406C1">
          <w:rPr>
            <w:rStyle w:val="Hyperlink"/>
            <w:sz w:val="22"/>
            <w:szCs w:val="22"/>
          </w:rPr>
          <w:t>www.myhyke.com/bentley2024</w:t>
        </w:r>
      </w:hyperlink>
      <w:r w:rsidR="003C0403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E4B2" w14:textId="77777777" w:rsidR="00436648" w:rsidRDefault="00436648" w:rsidP="00736825">
      <w:pPr>
        <w:spacing w:before="0" w:after="0" w:line="240" w:lineRule="auto"/>
      </w:pPr>
      <w:r>
        <w:separator/>
      </w:r>
    </w:p>
  </w:endnote>
  <w:endnote w:type="continuationSeparator" w:id="0">
    <w:p w14:paraId="60EA994F" w14:textId="77777777" w:rsidR="00436648" w:rsidRDefault="0043664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303E6E8" w14:textId="77777777" w:rsidR="00436648" w:rsidRDefault="0043664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7636" w14:textId="77777777" w:rsidR="00436648" w:rsidRDefault="0043664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B330DB2" w14:textId="77777777" w:rsidR="00436648" w:rsidRDefault="0043664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1B57014" w14:textId="77777777" w:rsidR="00436648" w:rsidRDefault="0043664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0403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36648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entley2024" TargetMode="External"/><Relationship Id="rId18" Type="http://schemas.openxmlformats.org/officeDocument/2006/relationships/hyperlink" Target="http://www.myhyke.com/bentley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entley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entley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entley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entley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Company>COMPANY NAME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www.myhyke.com/bentley2024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2023-10-10T20:41:00Z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