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7AA84EB3" w:rsidR="005C5267" w:rsidRPr="006B746A" w:rsidRDefault="00780ECC" w:rsidP="005C5267">
                                <w:pPr>
                                  <w:jc w:val="center"/>
                                  <w:rPr>
                                    <w:rFonts w:ascii="Ambit" w:hAnsi="Ambit"/>
                                    <w:color w:val="0C354B"/>
                                    <w:sz w:val="24"/>
                                    <w:szCs w:val="24"/>
                                  </w:rPr>
                                </w:pPr>
                                <w:r>
                                  <w:rPr>
                                    <w:rFonts w:ascii="Ambit" w:hAnsi="Ambit"/>
                                    <w:color w:val="0C354B"/>
                                    <w:sz w:val="24"/>
                                    <w:szCs w:val="24"/>
                                  </w:rPr>
                                  <w:t>Point32Health</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7AA84EB3" w:rsidR="005C5267" w:rsidRPr="006B746A" w:rsidRDefault="00780ECC" w:rsidP="005C5267">
                          <w:pPr>
                            <w:jc w:val="center"/>
                            <w:rPr>
                              <w:rFonts w:ascii="Ambit" w:hAnsi="Ambit"/>
                              <w:color w:val="0C354B"/>
                              <w:sz w:val="24"/>
                              <w:szCs w:val="24"/>
                            </w:rPr>
                          </w:pPr>
                          <w:r>
                            <w:rPr>
                              <w:rFonts w:ascii="Ambit" w:hAnsi="Ambit"/>
                              <w:color w:val="0C354B"/>
                              <w:sz w:val="24"/>
                              <w:szCs w:val="24"/>
                            </w:rPr>
                            <w:t>Point32Health</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3ACD491F" w:rsidR="00EE56F2"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sdt>
        <w:sdtPr>
          <w:rPr>
            <w:rFonts w:cstheme="minorHAnsi"/>
            <w:sz w:val="22"/>
            <w:szCs w:val="22"/>
          </w:rPr>
          <w:alias w:val="Keywords"/>
          <w:id w:val="-1196306788"/>
          <w:placeholder>
            <w:docPart w:val="D0D615C92D9548F7A58B2F90D9FCC0D5"/>
          </w:placeholder>
          <w:dataBinding w:prefixMappings="xmlns:ns0='http://purl.org/dc/elements/1.1/' xmlns:ns1='http://schemas.openxmlformats.org/package/2006/metadata/core-properties' " w:xpath="/ns1:coreProperties[1]/ns1:keywords[1]" w:storeItemID="{6C3C8BC8-F283-45AE-878A-BAB7291924A1}"/>
          <w:text/>
        </w:sdtPr>
        <w:sdtContent>
          <w:r w:rsidR="00780ECC">
            <w:rPr>
              <w:rFonts w:cstheme="minorHAnsi"/>
              <w:sz w:val="22"/>
              <w:szCs w:val="22"/>
            </w:rPr>
            <w:t>www.myhyke.com/point32health2024</w:t>
          </w:r>
        </w:sdtContent>
      </w:sdt>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(formerly MyHealthMath)</w:t>
      </w:r>
      <w:r w:rsidR="00780ECC">
        <w:rPr>
          <w:rFonts w:cstheme="minorHAnsi"/>
          <w:sz w:val="22"/>
          <w:szCs w:val="22"/>
        </w:rPr>
        <w:t>,</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finances and family, and receive instant guidance on which benefits will help you stay protected. </w:t>
      </w:r>
      <w:r w:rsidR="00EE56F2" w:rsidRPr="00825CF8">
        <w:rPr>
          <w:rFonts w:cstheme="minorHAnsi"/>
          <w:sz w:val="22"/>
          <w:szCs w:val="22"/>
        </w:rPr>
        <w:t xml:space="preserve">It’s free, easy, and completely confidential. </w:t>
      </w:r>
    </w:p>
    <w:p w14:paraId="0779777D" w14:textId="1DAA8353" w:rsidR="0096689F" w:rsidRPr="0096689F" w:rsidRDefault="0096689F" w:rsidP="00EE56F2">
      <w:pPr>
        <w:spacing w:line="256" w:lineRule="auto"/>
        <w:rPr>
          <w:rFonts w:cstheme="minorHAnsi"/>
          <w:i/>
          <w:iCs/>
          <w:sz w:val="22"/>
          <w:szCs w:val="22"/>
        </w:rPr>
      </w:pPr>
      <w:r w:rsidRPr="0096689F">
        <w:rPr>
          <w:rFonts w:cstheme="minorHAnsi"/>
          <w:i/>
          <w:iCs/>
          <w:sz w:val="22"/>
          <w:szCs w:val="22"/>
        </w:rPr>
        <w:t xml:space="preserve">Go to Decision Doc and enter your </w:t>
      </w:r>
      <w:r w:rsidRPr="0096689F">
        <w:rPr>
          <w:rFonts w:cstheme="minorHAnsi"/>
          <w:i/>
          <w:iCs/>
          <w:sz w:val="22"/>
          <w:szCs w:val="22"/>
        </w:rPr>
        <w:t>enter your Point32Health Tufts Health Plan or Harvard Pilgrim subscriber ID, which can be found</w:t>
      </w:r>
      <w:r w:rsidRPr="0096689F">
        <w:rPr>
          <w:rFonts w:cstheme="minorHAnsi"/>
          <w:i/>
          <w:iCs/>
          <w:sz w:val="22"/>
          <w:szCs w:val="22"/>
        </w:rPr>
        <w:t xml:space="preserve"> on your health insurance card.</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00EE8300" w14:textId="56A41676" w:rsidR="003F1B79" w:rsidRPr="00966F05"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B999CF7" w14:textId="69434ECF"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Pr="00966F05">
        <w:rPr>
          <w:rFonts w:eastAsia="Times New Roman" w:cstheme="minorHAnsi"/>
          <w:sz w:val="22"/>
          <w:szCs w:val="22"/>
          <w:highlight w:val="yellow"/>
        </w:rPr>
        <w:t>DD GO LIVE</w:t>
      </w:r>
      <w:r w:rsidR="000A12FD" w:rsidRPr="00966F05">
        <w:rPr>
          <w:rFonts w:eastAsia="Times New Roman" w:cstheme="minorHAnsi"/>
          <w:sz w:val="22"/>
          <w:szCs w:val="22"/>
          <w:highlight w:val="yellow"/>
        </w:rPr>
        <w:t xml:space="preserve"> DATE</w:t>
      </w:r>
      <w:r w:rsidR="00780ECC">
        <w:rPr>
          <w:rFonts w:eastAsia="Times New Roman" w:cstheme="minorHAnsi"/>
          <w:sz w:val="22"/>
          <w:szCs w:val="22"/>
        </w:rPr>
        <w:t xml:space="preserve"> 10/23/2023</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0083AD82"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We’re excited to share we’re continuing our partnership with HYKE</w:t>
      </w:r>
      <w:r w:rsidR="00AF5624">
        <w:rPr>
          <w:rFonts w:cstheme="minorHAnsi"/>
          <w:sz w:val="22"/>
          <w:szCs w:val="22"/>
        </w:rPr>
        <w:t>, formerly MyHealth</w:t>
      </w:r>
      <w:r w:rsidR="00780ECC">
        <w:rPr>
          <w:rFonts w:cstheme="minorHAnsi"/>
          <w:sz w:val="22"/>
          <w:szCs w:val="22"/>
        </w:rPr>
        <w:t>M</w:t>
      </w:r>
      <w:r w:rsidR="00AF5624">
        <w:rPr>
          <w:rFonts w:cstheme="minorHAnsi"/>
          <w:sz w:val="22"/>
          <w:szCs w:val="22"/>
        </w:rPr>
        <w:t>ath.</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02173761"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rPr>
          <w:alias w:val="Keywords"/>
          <w:tag w:val=""/>
          <w:id w:val="1199130265"/>
          <w:placeholder>
            <w:docPart w:val="11799847A586438FBF86BFD05190047C"/>
          </w:placeholder>
          <w:dataBinding w:prefixMappings="xmlns:ns0='http://purl.org/dc/elements/1.1/' xmlns:ns1='http://schemas.openxmlformats.org/package/2006/metadata/core-properties' " w:xpath="/ns1:coreProperties[1]/ns1:keywords[1]" w:storeItemID="{6C3C8BC8-F283-45AE-878A-BAB7291924A1}"/>
          <w:text/>
        </w:sdtPr>
        <w:sdtContent>
          <w:r w:rsidR="00780ECC">
            <w:rPr>
              <w:rFonts w:eastAsia="Times New Roman" w:cstheme="minorHAnsi"/>
            </w:rPr>
            <w:t>www.myhyke.com/point32health2024</w:t>
          </w:r>
        </w:sdtContent>
      </w:sdt>
    </w:p>
    <w:p w14:paraId="34DD68D7" w14:textId="1680D2F4" w:rsidR="0096689F" w:rsidRPr="0096689F" w:rsidRDefault="0096689F" w:rsidP="0096689F">
      <w:pPr>
        <w:pStyle w:val="ListParagraph"/>
        <w:numPr>
          <w:ilvl w:val="1"/>
          <w:numId w:val="28"/>
        </w:numPr>
        <w:spacing w:line="256" w:lineRule="auto"/>
        <w:rPr>
          <w:rFonts w:cstheme="minorHAnsi"/>
          <w:i/>
          <w:iCs/>
        </w:rPr>
      </w:pPr>
      <w:r>
        <w:rPr>
          <w:rFonts w:cstheme="minorHAnsi"/>
          <w:i/>
          <w:iCs/>
        </w:rPr>
        <w:t>E</w:t>
      </w:r>
      <w:r w:rsidRPr="0096689F">
        <w:rPr>
          <w:rFonts w:cstheme="minorHAnsi"/>
          <w:i/>
          <w:iCs/>
        </w:rPr>
        <w:t>nter your enter your Point32Health Tufts Health Plan or Harvard Pilgrim subscriber ID, which can be found on your health insurance card.</w:t>
      </w:r>
    </w:p>
    <w:p w14:paraId="373AF018" w14:textId="50505518"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4C7F27B2" w14:textId="6FFE9C95" w:rsidR="00B8149B" w:rsidRPr="00CB60F5" w:rsidRDefault="00B8149B" w:rsidP="00154A1C">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5E2031B4" w14:textId="77777777" w:rsidR="00003021" w:rsidRDefault="00003021" w:rsidP="00F4247F">
      <w:pPr>
        <w:spacing w:before="0" w:after="0" w:line="240" w:lineRule="auto"/>
        <w:textAlignment w:val="baseline"/>
        <w:rPr>
          <w:rFonts w:cstheme="minorHAnsi"/>
          <w:b/>
          <w:bCs/>
          <w:sz w:val="22"/>
          <w:szCs w:val="22"/>
        </w:rPr>
      </w:pPr>
    </w:p>
    <w:p w14:paraId="543DA844" w14:textId="07DA55F4"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3"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436DFF5F" w:rsidR="00B469D2" w:rsidRDefault="00780ECC" w:rsidP="00B469D2">
          <w:r>
            <w:t>Point32Health</w:t>
          </w:r>
        </w:p>
      </w:sdtContent>
    </w:sdt>
    <w:p w14:paraId="29C878A2" w14:textId="141FABD9"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4212FF37"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minutes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36192C6" w14:textId="0F8FF2D4" w:rsidR="006A4C1A" w:rsidRPr="00B22A0C" w:rsidRDefault="003960AC" w:rsidP="00B22A0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003B7132" w:rsidRPr="00B22A0C">
        <w:rPr>
          <w:rFonts w:eastAsia="Times New Roman" w:cstheme="minorHAnsi"/>
        </w:rPr>
        <w:t xml:space="preserve">which benefits will help you stay protected. </w:t>
      </w:r>
      <w:r w:rsidR="006079E5" w:rsidRPr="003960AC">
        <w:rPr>
          <w:rFonts w:cstheme="minorHAnsi"/>
        </w:rPr>
        <w:t>L</w:t>
      </w:r>
      <w:r w:rsidR="002B1423" w:rsidRPr="003960AC">
        <w:rPr>
          <w:rFonts w:cstheme="minorHAnsi"/>
        </w:rPr>
        <w:t>ast year, employees who used Decision Doc saved an average of $</w:t>
      </w:r>
      <w:r w:rsidR="00780ECC">
        <w:rPr>
          <w:rFonts w:cstheme="minorHAnsi"/>
        </w:rPr>
        <w:t>1,300</w:t>
      </w:r>
      <w:r w:rsidR="002B1423" w:rsidRPr="003960AC">
        <w:rPr>
          <w:rFonts w:cstheme="minorHAnsi"/>
        </w:rPr>
        <w:t xml:space="preserve"> in total healthcare costs. Don’t miss out on your opportunity </w:t>
      </w:r>
      <w:r w:rsidR="006079E5" w:rsidRPr="003960AC">
        <w:rPr>
          <w:rFonts w:cstheme="minorHAnsi"/>
        </w:rPr>
        <w:t xml:space="preserve">to save </w:t>
      </w:r>
      <w:r w:rsidR="002B1423" w:rsidRPr="003960AC">
        <w:rPr>
          <w:rFonts w:cstheme="minorHAnsi"/>
        </w:rPr>
        <w:t>this year!</w:t>
      </w:r>
      <w:r w:rsidR="006079E5" w:rsidRPr="003960AC">
        <w:rPr>
          <w:rFonts w:cstheme="minorHAnsi"/>
        </w:rPr>
        <w:t xml:space="preserve"> </w:t>
      </w:r>
    </w:p>
    <w:p w14:paraId="0E29A82A" w14:textId="33FC2B02" w:rsidR="00AA7101" w:rsidRPr="00B22A0C" w:rsidRDefault="00AA7101" w:rsidP="00AA7101">
      <w:pPr>
        <w:spacing w:after="0" w:line="256" w:lineRule="auto"/>
        <w:rPr>
          <w:rFonts w:cstheme="minorHAnsi"/>
          <w:b/>
          <w:bCs/>
        </w:rPr>
      </w:pPr>
    </w:p>
    <w:p w14:paraId="7FE63AFE" w14:textId="1B7D672D"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rPr>
          <w:alias w:val="Keywords"/>
          <w:tag w:val=""/>
          <w:id w:val="396552146"/>
          <w:placeholder>
            <w:docPart w:val="0DD40627CAD5426BB6548EA38B095BC2"/>
          </w:placeholder>
          <w:dataBinding w:prefixMappings="xmlns:ns0='http://purl.org/dc/elements/1.1/' xmlns:ns1='http://schemas.openxmlformats.org/package/2006/metadata/core-properties' " w:xpath="/ns1:coreProperties[1]/ns1:keywords[1]" w:storeItemID="{6C3C8BC8-F283-45AE-878A-BAB7291924A1}"/>
          <w:text/>
        </w:sdtPr>
        <w:sdtContent>
          <w:r w:rsidR="00780ECC">
            <w:rPr>
              <w:rFonts w:eastAsia="Times New Roman" w:cstheme="minorHAnsi"/>
              <w:b/>
              <w:bCs/>
            </w:rPr>
            <w:t>www.myhyke.com/point32health2024</w:t>
          </w:r>
        </w:sdtContent>
      </w:sdt>
    </w:p>
    <w:p w14:paraId="421B111A" w14:textId="77777777" w:rsidR="0096689F" w:rsidRPr="0096689F" w:rsidRDefault="0096689F" w:rsidP="0096689F">
      <w:pPr>
        <w:spacing w:line="256" w:lineRule="auto"/>
        <w:rPr>
          <w:rFonts w:eastAsiaTheme="minorHAnsi" w:cstheme="minorHAnsi"/>
          <w:i/>
          <w:iCs/>
        </w:rPr>
      </w:pPr>
      <w:r w:rsidRPr="0096689F">
        <w:rPr>
          <w:rFonts w:cstheme="minorHAnsi"/>
          <w:i/>
          <w:iCs/>
        </w:rPr>
        <w:t>Enter your enter your Point32Health Tufts Health Plan or Harvard Pilgrim subscriber ID, which can be found on your health insurance card.</w:t>
      </w:r>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37361EC7" w:rsidR="00510A6A" w:rsidRPr="00463290" w:rsidRDefault="00780ECC" w:rsidP="00510A6A">
          <w:pPr>
            <w:rPr>
              <w:rFonts w:cstheme="minorHAnsi"/>
            </w:rPr>
          </w:pPr>
          <w:r>
            <w:rPr>
              <w:rFonts w:cstheme="minorHAnsi"/>
            </w:rPr>
            <w:t>Point32Health</w:t>
          </w:r>
        </w:p>
      </w:sdtContent>
    </w:sdt>
    <w:p w14:paraId="11199F37" w14:textId="77777777" w:rsidR="00BB0FC2" w:rsidRDefault="00BB0FC2" w:rsidP="00B60E7F">
      <w:pPr>
        <w:pStyle w:val="Heading2"/>
        <w:rPr>
          <w:rFonts w:cstheme="minorHAnsi"/>
          <w:sz w:val="12"/>
          <w:szCs w:val="12"/>
        </w:rPr>
      </w:pPr>
      <w:bookmarkStart w:id="3" w:name="_Final_Reminder"/>
      <w:bookmarkEnd w:id="3"/>
    </w:p>
    <w:p w14:paraId="402D4AD4" w14:textId="7873E4B3" w:rsidR="00B60E7F" w:rsidRPr="004F5C81" w:rsidRDefault="00B60E7F" w:rsidP="00B60E7F">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Final Reminder</w:t>
      </w:r>
    </w:p>
    <w:p w14:paraId="139D4F5D" w14:textId="6DD5B460"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Last Chance – Use Decision Doc Now </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2 days before Open Enrollment ends</w:t>
      </w:r>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HYKE_DD_Employee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6A580FDC"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and confidential, and could save you thousands of dollars</w:t>
      </w:r>
      <w:r w:rsidR="00780ECC">
        <w:rPr>
          <w:rFonts w:eastAsia="Times New Roman" w:cstheme="minorHAnsi"/>
          <w:sz w:val="22"/>
          <w:szCs w:val="22"/>
        </w:rPr>
        <w:t>.</w:t>
      </w:r>
      <w:r w:rsidR="00332347" w:rsidRPr="00332347">
        <w:rPr>
          <w:rFonts w:cstheme="minorHAnsi"/>
          <w:sz w:val="22"/>
          <w:szCs w:val="22"/>
        </w:rPr>
        <w:t xml:space="preserve">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receive your Protection Score</w:t>
      </w:r>
      <w:r w:rsidR="005F35BE">
        <w:rPr>
          <w:rFonts w:cstheme="minorHAnsi"/>
          <w:sz w:val="22"/>
          <w:szCs w:val="22"/>
        </w:rPr>
        <w:t xml:space="preserve"> and know where you stand</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04C9BB9F"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rPr>
          <w:alias w:val="Keywords"/>
          <w:tag w:val=""/>
          <w:id w:val="480888995"/>
          <w:placeholder>
            <w:docPart w:val="3AC0B2B603F34D349DFEC0B0DCF1882D"/>
          </w:placeholder>
          <w:dataBinding w:prefixMappings="xmlns:ns0='http://purl.org/dc/elements/1.1/' xmlns:ns1='http://schemas.openxmlformats.org/package/2006/metadata/core-properties' " w:xpath="/ns1:coreProperties[1]/ns1:keywords[1]" w:storeItemID="{6C3C8BC8-F283-45AE-878A-BAB7291924A1}"/>
          <w:text/>
        </w:sdtPr>
        <w:sdtContent>
          <w:r w:rsidR="00780ECC">
            <w:rPr>
              <w:rFonts w:eastAsia="Times New Roman" w:cstheme="minorHAnsi"/>
            </w:rPr>
            <w:t>www.myhyke.com/point32health2024</w:t>
          </w:r>
        </w:sdtContent>
      </w:sdt>
    </w:p>
    <w:p w14:paraId="3AC70415" w14:textId="78F1FCC0" w:rsidR="0096689F" w:rsidRPr="0096689F" w:rsidRDefault="0096689F" w:rsidP="0096689F">
      <w:pPr>
        <w:pStyle w:val="ListParagraph"/>
        <w:numPr>
          <w:ilvl w:val="1"/>
          <w:numId w:val="28"/>
        </w:numPr>
        <w:spacing w:line="256" w:lineRule="auto"/>
        <w:rPr>
          <w:rFonts w:cstheme="minorHAnsi"/>
          <w:i/>
          <w:iCs/>
        </w:rPr>
      </w:pPr>
      <w:r>
        <w:rPr>
          <w:rFonts w:cstheme="minorHAnsi"/>
          <w:i/>
          <w:iCs/>
        </w:rPr>
        <w:t>E</w:t>
      </w:r>
      <w:r w:rsidRPr="0096689F">
        <w:rPr>
          <w:rFonts w:cstheme="minorHAnsi"/>
          <w:i/>
          <w:iCs/>
        </w:rPr>
        <w:t>nter your enter your Point32Health Tufts Health Plan or Harvard Pilgrim subscriber ID, which can be found on your health insurance card.</w:t>
      </w:r>
    </w:p>
    <w:p w14:paraId="73725662" w14:textId="1AA4AE7F"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0FD4F6CF" w14:textId="3E44AC92"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AB6B8CF" w14:textId="77777777" w:rsidR="00B60E7F" w:rsidRDefault="00B60E7F" w:rsidP="00B60E7F">
      <w:pPr>
        <w:spacing w:before="0" w:after="0" w:line="240" w:lineRule="auto"/>
        <w:textAlignment w:val="baseline"/>
        <w:rPr>
          <w:rFonts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69779629" w:rsidR="00B60E7F" w:rsidRDefault="00780ECC" w:rsidP="00B60E7F">
          <w:r>
            <w:t>Point32Health</w:t>
          </w:r>
        </w:p>
      </w:sdtContent>
    </w:sdt>
    <w:p w14:paraId="24C3EA87" w14:textId="77777777" w:rsidR="00BB0FC2" w:rsidRPr="00BB0FC2" w:rsidRDefault="00BB0FC2" w:rsidP="00BB0FC2">
      <w:bookmarkStart w:id="4" w:name="_Executive_/_Leadership"/>
      <w:bookmarkEnd w:id="4"/>
    </w:p>
    <w:p w14:paraId="37DF2A4B" w14:textId="52904CB6" w:rsidR="00154A1C" w:rsidRPr="004F5C81" w:rsidRDefault="00154A1C" w:rsidP="00154A1C">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Executive / Leadership Email</w:t>
      </w:r>
    </w:p>
    <w:p w14:paraId="0766587D" w14:textId="1D9688B1"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w:t>
      </w:r>
      <w:r w:rsidR="00003021">
        <w:rPr>
          <w:rFonts w:eastAsia="Calibri" w:cstheme="minorHAnsi"/>
          <w:sz w:val="22"/>
          <w:szCs w:val="22"/>
        </w:rPr>
        <w:t>Benefit S</w:t>
      </w:r>
      <w:r w:rsidR="00AC4501">
        <w:rPr>
          <w:rFonts w:eastAsia="Calibri" w:cstheme="minorHAnsi"/>
          <w:sz w:val="22"/>
          <w:szCs w:val="22"/>
        </w:rPr>
        <w:t xml:space="preserve">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780ECC">
            <w:rPr>
              <w:rFonts w:eastAsia="Calibri" w:cstheme="minorHAnsi"/>
              <w:sz w:val="22"/>
              <w:szCs w:val="22"/>
            </w:rPr>
            <w:t>Point32Health</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1F38070C"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cstheme="minorHAnsi"/>
          <w:sz w:val="22"/>
          <w:szCs w:val="22"/>
        </w:rPr>
        <w:t>– formerly MyHealthMath</w:t>
      </w:r>
      <w:r w:rsidR="00780ECC">
        <w:rPr>
          <w:rFonts w:cstheme="minorHAnsi"/>
          <w:sz w:val="22"/>
          <w:szCs w:val="22"/>
        </w:rPr>
        <w:t xml:space="preserve">) </w:t>
      </w:r>
      <w:r>
        <w:rPr>
          <w:rFonts w:eastAsia="Times New Roman" w:cstheme="minorHAnsi"/>
          <w:sz w:val="22"/>
          <w:szCs w:val="22"/>
        </w:rPr>
        <w:t xml:space="preserve">is </w:t>
      </w:r>
      <w:r w:rsidR="002508E2">
        <w:rPr>
          <w:rFonts w:eastAsia="Times New Roman" w:cstheme="minorHAnsi"/>
          <w:sz w:val="22"/>
          <w:szCs w:val="22"/>
        </w:rPr>
        <w:t>a</w:t>
      </w:r>
      <w:r w:rsidR="009C407C">
        <w:rPr>
          <w:rFonts w:eastAsia="Times New Roman" w:cstheme="minorHAnsi"/>
          <w:sz w:val="22"/>
          <w:szCs w:val="22"/>
        </w:rPr>
        <w:t xml:space="preserve">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133D0E53"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sdt>
        <w:sdtPr>
          <w:rPr>
            <w:rFonts w:eastAsia="Times New Roman" w:cstheme="minorHAnsi"/>
          </w:rPr>
          <w:alias w:val="Keywords"/>
          <w:tag w:val=""/>
          <w:id w:val="-2077199743"/>
          <w:placeholder>
            <w:docPart w:val="634E5F022AED44DC9E16A16BB2E4C920"/>
          </w:placeholder>
          <w:dataBinding w:prefixMappings="xmlns:ns0='http://purl.org/dc/elements/1.1/' xmlns:ns1='http://schemas.openxmlformats.org/package/2006/metadata/core-properties' " w:xpath="/ns1:coreProperties[1]/ns1:keywords[1]" w:storeItemID="{6C3C8BC8-F283-45AE-878A-BAB7291924A1}"/>
          <w:text/>
        </w:sdtPr>
        <w:sdtContent>
          <w:r w:rsidR="00780ECC">
            <w:rPr>
              <w:rFonts w:eastAsia="Times New Roman" w:cstheme="minorHAnsi"/>
            </w:rPr>
            <w:t>www.myhyke.com/point32health2024</w:t>
          </w:r>
        </w:sdtContent>
      </w:sdt>
    </w:p>
    <w:p w14:paraId="4B5C69C5" w14:textId="241BD994" w:rsidR="0096689F" w:rsidRPr="0096689F" w:rsidRDefault="0096689F" w:rsidP="0096689F">
      <w:pPr>
        <w:pStyle w:val="ListParagraph"/>
        <w:numPr>
          <w:ilvl w:val="1"/>
          <w:numId w:val="28"/>
        </w:numPr>
        <w:spacing w:line="256" w:lineRule="auto"/>
        <w:rPr>
          <w:rFonts w:cstheme="minorHAnsi"/>
          <w:i/>
          <w:iCs/>
        </w:rPr>
      </w:pPr>
      <w:r>
        <w:rPr>
          <w:rFonts w:cstheme="minorHAnsi"/>
          <w:i/>
          <w:iCs/>
        </w:rPr>
        <w:t>E</w:t>
      </w:r>
      <w:r w:rsidRPr="0096689F">
        <w:rPr>
          <w:rFonts w:cstheme="minorHAnsi"/>
          <w:i/>
          <w:iCs/>
        </w:rPr>
        <w:t>nter your enter your Point32Health Tufts Health Plan or Harvard Pilgrim subscriber ID, which can be found on your health insurance card.</w:t>
      </w:r>
    </w:p>
    <w:p w14:paraId="5D64CB95" w14:textId="767A42AA"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E444C10" w14:textId="4B5637C2"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406022A9" w14:textId="77777777" w:rsidR="00154A1C" w:rsidRPr="00B22A0C" w:rsidRDefault="00154A1C" w:rsidP="00154A1C">
      <w:pPr>
        <w:spacing w:before="0" w:after="0" w:line="240" w:lineRule="auto"/>
        <w:textAlignment w:val="baseline"/>
        <w:rPr>
          <w:rFonts w:cstheme="minorHAnsi"/>
          <w:b/>
          <w:bCs/>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4"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5560A1CB" w:rsidR="00154A1C" w:rsidRDefault="00780ECC" w:rsidP="00154A1C">
          <w:r>
            <w:t>Point32Health</w:t>
          </w:r>
        </w:p>
      </w:sdtContent>
    </w:sdt>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72F6" w14:textId="77777777" w:rsidR="004B6BC9" w:rsidRDefault="004B6BC9" w:rsidP="00736825">
      <w:pPr>
        <w:spacing w:before="0" w:after="0" w:line="240" w:lineRule="auto"/>
      </w:pPr>
      <w:r>
        <w:separator/>
      </w:r>
    </w:p>
  </w:endnote>
  <w:endnote w:type="continuationSeparator" w:id="0">
    <w:p w14:paraId="319A256E" w14:textId="77777777" w:rsidR="004B6BC9" w:rsidRDefault="004B6BC9" w:rsidP="00736825">
      <w:pPr>
        <w:spacing w:before="0" w:after="0" w:line="240" w:lineRule="auto"/>
      </w:pPr>
      <w:r>
        <w:continuationSeparator/>
      </w:r>
    </w:p>
  </w:endnote>
  <w:endnote w:type="continuationNotice" w:id="1">
    <w:p w14:paraId="2A986ED6" w14:textId="77777777" w:rsidR="004B6BC9" w:rsidRDefault="004B6B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altName w:val="Calibri"/>
    <w:panose1 w:val="00000000000000000000"/>
    <w:charset w:val="00"/>
    <w:family w:val="modern"/>
    <w:notTrueType/>
    <w:pitch w:val="variable"/>
    <w:sig w:usb0="A00002AF" w:usb1="5000004B" w:usb2="00000000" w:usb3="00000000" w:csb0="0000019F" w:csb1="00000000"/>
  </w:font>
  <w:font w:name="Ambit">
    <w:altName w:val="Calibri"/>
    <w:panose1 w:val="000000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A95B" w14:textId="77777777" w:rsidR="004B6BC9" w:rsidRDefault="004B6BC9" w:rsidP="00736825">
      <w:pPr>
        <w:spacing w:before="0" w:after="0" w:line="240" w:lineRule="auto"/>
      </w:pPr>
      <w:r>
        <w:separator/>
      </w:r>
    </w:p>
  </w:footnote>
  <w:footnote w:type="continuationSeparator" w:id="0">
    <w:p w14:paraId="2D19F5AD" w14:textId="77777777" w:rsidR="004B6BC9" w:rsidRDefault="004B6BC9" w:rsidP="00736825">
      <w:pPr>
        <w:spacing w:before="0" w:after="0" w:line="240" w:lineRule="auto"/>
      </w:pPr>
      <w:r>
        <w:continuationSeparator/>
      </w:r>
    </w:p>
  </w:footnote>
  <w:footnote w:type="continuationNotice" w:id="1">
    <w:p w14:paraId="13826F0D" w14:textId="77777777" w:rsidR="004B6BC9" w:rsidRDefault="004B6BC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021"/>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3CDD"/>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6BC9"/>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0ECC"/>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89F"/>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0FC2"/>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2C4A"/>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uestions@letshyk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estions@letshyk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0D615C92D9548F7A58B2F90D9FCC0D5"/>
        <w:category>
          <w:name w:val="General"/>
          <w:gallery w:val="placeholder"/>
        </w:category>
        <w:types>
          <w:type w:val="bbPlcHdr"/>
        </w:types>
        <w:behaviors>
          <w:behavior w:val="content"/>
        </w:behaviors>
        <w:guid w:val="{95C1F584-0A22-446C-A888-79AE09B161E8}"/>
      </w:docPartPr>
      <w:docPartBody>
        <w:p w:rsidR="0041083B" w:rsidRDefault="0041083B" w:rsidP="0041083B">
          <w:pPr>
            <w:pStyle w:val="D0D615C92D9548F7A58B2F90D9FCC0D5"/>
          </w:pPr>
          <w:r>
            <w:rPr>
              <w:rStyle w:val="PlaceholderText"/>
            </w:rPr>
            <w:t>[Keywords]</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11799847A586438FBF86BFD05190047C"/>
        <w:category>
          <w:name w:val="General"/>
          <w:gallery w:val="placeholder"/>
        </w:category>
        <w:types>
          <w:type w:val="bbPlcHdr"/>
        </w:types>
        <w:behaviors>
          <w:behavior w:val="content"/>
        </w:behaviors>
        <w:guid w:val="{7BEFAEB9-6C60-4DF8-BF27-D85D86E04BB1}"/>
      </w:docPartPr>
      <w:docPartBody>
        <w:p w:rsidR="0041083B" w:rsidRDefault="0041083B">
          <w:r w:rsidRPr="00C6150B">
            <w:rPr>
              <w:rStyle w:val="PlaceholderText"/>
            </w:rPr>
            <w:t>[Keywords]</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0DD40627CAD5426BB6548EA38B095BC2"/>
        <w:category>
          <w:name w:val="General"/>
          <w:gallery w:val="placeholder"/>
        </w:category>
        <w:types>
          <w:type w:val="bbPlcHdr"/>
        </w:types>
        <w:behaviors>
          <w:behavior w:val="content"/>
        </w:behaviors>
        <w:guid w:val="{F9652D2C-83ED-41A2-B4C8-7AAA44A36C23}"/>
      </w:docPartPr>
      <w:docPartBody>
        <w:p w:rsidR="0041083B" w:rsidRDefault="0041083B" w:rsidP="0041083B">
          <w:pPr>
            <w:pStyle w:val="0DD40627CAD5426BB6548EA38B095BC2"/>
          </w:pPr>
          <w:r w:rsidRPr="00C6150B">
            <w:rPr>
              <w:rStyle w:val="PlaceholderText"/>
            </w:rPr>
            <w:t>[Keywords]</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
      <w:docPartPr>
        <w:name w:val="3AC0B2B603F34D349DFEC0B0DCF1882D"/>
        <w:category>
          <w:name w:val="General"/>
          <w:gallery w:val="placeholder"/>
        </w:category>
        <w:types>
          <w:type w:val="bbPlcHdr"/>
        </w:types>
        <w:behaviors>
          <w:behavior w:val="content"/>
        </w:behaviors>
        <w:guid w:val="{9DED5993-D28A-4564-8D69-5A71728445F2}"/>
      </w:docPartPr>
      <w:docPartBody>
        <w:p w:rsidR="0041083B" w:rsidRDefault="0041083B" w:rsidP="0041083B">
          <w:pPr>
            <w:pStyle w:val="3AC0B2B603F34D349DFEC0B0DCF1882D"/>
          </w:pPr>
          <w:r w:rsidRPr="00C6150B">
            <w:rPr>
              <w:rStyle w:val="PlaceholderText"/>
            </w:rPr>
            <w:t>[Keywords]</w:t>
          </w:r>
        </w:p>
      </w:docPartBody>
    </w:docPart>
    <w:docPart>
      <w:docPartPr>
        <w:name w:val="634E5F022AED44DC9E16A16BB2E4C920"/>
        <w:category>
          <w:name w:val="General"/>
          <w:gallery w:val="placeholder"/>
        </w:category>
        <w:types>
          <w:type w:val="bbPlcHdr"/>
        </w:types>
        <w:behaviors>
          <w:behavior w:val="content"/>
        </w:behaviors>
        <w:guid w:val="{57C2785D-60F3-438A-A3D6-67EE6A9C600F}"/>
      </w:docPartPr>
      <w:docPartBody>
        <w:p w:rsidR="0041083B" w:rsidRDefault="0041083B" w:rsidP="0041083B">
          <w:pPr>
            <w:pStyle w:val="634E5F022AED44DC9E16A16BB2E4C920"/>
          </w:pPr>
          <w:r w:rsidRPr="00C6150B">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altName w:val="Calibri"/>
    <w:panose1 w:val="00000000000000000000"/>
    <w:charset w:val="00"/>
    <w:family w:val="modern"/>
    <w:notTrueType/>
    <w:pitch w:val="variable"/>
    <w:sig w:usb0="A00002AF" w:usb1="5000004B" w:usb2="00000000" w:usb3="00000000" w:csb0="0000019F" w:csb1="00000000"/>
  </w:font>
  <w:font w:name="Ambit">
    <w:altName w:val="Calibri"/>
    <w:panose1 w:val="000000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577"/>
    <w:rsid w:val="006B6821"/>
    <w:rsid w:val="007146EE"/>
    <w:rsid w:val="007630C4"/>
    <w:rsid w:val="007749E7"/>
    <w:rsid w:val="007A73BA"/>
    <w:rsid w:val="007B4B1E"/>
    <w:rsid w:val="00915F97"/>
    <w:rsid w:val="00927B31"/>
    <w:rsid w:val="00962A6D"/>
    <w:rsid w:val="009A7A4B"/>
    <w:rsid w:val="009B46A9"/>
    <w:rsid w:val="00A4437F"/>
    <w:rsid w:val="00B32DBE"/>
    <w:rsid w:val="00B42A54"/>
    <w:rsid w:val="00B81CB7"/>
    <w:rsid w:val="00BA0BE9"/>
    <w:rsid w:val="00BF68FC"/>
    <w:rsid w:val="00C66B19"/>
    <w:rsid w:val="00D82B47"/>
    <w:rsid w:val="00DD6E15"/>
    <w:rsid w:val="00E05318"/>
    <w:rsid w:val="00E21ADD"/>
    <w:rsid w:val="00EB1CB9"/>
    <w:rsid w:val="00F00CC2"/>
    <w:rsid w:val="00FB0F68"/>
    <w:rsid w:val="00FC42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615C92D9548F7A58B2F90D9FCC0D5">
    <w:name w:val="D0D615C92D9548F7A58B2F90D9FCC0D5"/>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6e73e92cb0acd4c263c3b6a9ec7ffba6">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8063d1bd1be30f3ab9d48962316f5878"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cb8eae1-61f1-4403-be82-09eff0b170ed}"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4B77B2-8D79-44C2-AC94-94593130B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4.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5.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Point32Health</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www.myhyke.com/point32health2024</cp:keywords>
  <dc:description>4 $100 Amazon gift cards</dc:description>
  <cp:lastModifiedBy>Becky Fittro</cp:lastModifiedBy>
  <cp:revision>5</cp:revision>
  <dcterms:created xsi:type="dcterms:W3CDTF">2023-09-28T22:30:00Z</dcterms:created>
  <dcterms:modified xsi:type="dcterms:W3CDTF">2023-10-23T16:29:00Z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