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587D845A" w:rsidR="005C5267" w:rsidRPr="00064329" w:rsidRDefault="00D22838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Shore Educational Collaborative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587D845A" w:rsidR="005C5267" w:rsidRPr="00064329" w:rsidRDefault="00D22838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Shore Educational Collaborative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65F8AFB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D2145">
            <w:rPr>
              <w:rFonts w:cstheme="minorHAnsi"/>
            </w:rPr>
            <w:t>www.myhealthmath.com/</w:t>
          </w:r>
          <w:r w:rsidR="00D22838">
            <w:rPr>
              <w:rFonts w:cstheme="minorHAnsi"/>
            </w:rPr>
            <w:t>shorecollaborative2023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496EAE98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2838">
            <w:rPr>
              <w:rFonts w:cstheme="minorHAnsi"/>
              <w:sz w:val="22"/>
              <w:szCs w:val="22"/>
            </w:rPr>
            <w:t>www.myhealthmath.com/shorecollaborative2023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4717E975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2838">
            <w:rPr>
              <w:rFonts w:cstheme="minorHAnsi"/>
              <w:sz w:val="22"/>
              <w:szCs w:val="22"/>
            </w:rPr>
            <w:t>www.myhealthmath.com/shorecollaborative2023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13A04EE1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2838">
            <w:rPr>
              <w:rFonts w:cstheme="minorHAnsi"/>
              <w:sz w:val="22"/>
              <w:szCs w:val="22"/>
            </w:rPr>
            <w:t>www.myhealthmath.com/shorecollaborative2023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50D7BA3F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2838">
            <w:rPr>
              <w:rFonts w:cstheme="minorHAnsi"/>
              <w:sz w:val="22"/>
              <w:szCs w:val="22"/>
            </w:rPr>
            <w:t>www.myhealthmath.com/shorecollaborative2023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857F" w14:textId="77777777" w:rsidR="00E03F06" w:rsidRDefault="00E03F06" w:rsidP="00736825">
      <w:pPr>
        <w:spacing w:before="0" w:after="0" w:line="240" w:lineRule="auto"/>
      </w:pPr>
      <w:r>
        <w:separator/>
      </w:r>
    </w:p>
  </w:endnote>
  <w:endnote w:type="continuationSeparator" w:id="0">
    <w:p w14:paraId="009E305B" w14:textId="77777777" w:rsidR="00E03F06" w:rsidRDefault="00E03F06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3145C30" w14:textId="77777777" w:rsidR="00E03F06" w:rsidRDefault="00E03F0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7F63" w14:textId="77777777" w:rsidR="00E03F06" w:rsidRDefault="00E03F06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76A0D13" w14:textId="77777777" w:rsidR="00E03F06" w:rsidRDefault="00E03F06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51AAA36" w14:textId="77777777" w:rsidR="00E03F06" w:rsidRDefault="00E03F0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4621792">
    <w:abstractNumId w:val="4"/>
  </w:num>
  <w:num w:numId="2" w16cid:durableId="1933933313">
    <w:abstractNumId w:val="14"/>
  </w:num>
  <w:num w:numId="3" w16cid:durableId="289669843">
    <w:abstractNumId w:val="19"/>
  </w:num>
  <w:num w:numId="4" w16cid:durableId="294140096">
    <w:abstractNumId w:val="2"/>
  </w:num>
  <w:num w:numId="5" w16cid:durableId="604071722">
    <w:abstractNumId w:val="3"/>
  </w:num>
  <w:num w:numId="6" w16cid:durableId="1912735453">
    <w:abstractNumId w:val="18"/>
  </w:num>
  <w:num w:numId="7" w16cid:durableId="525214499">
    <w:abstractNumId w:val="10"/>
  </w:num>
  <w:num w:numId="8" w16cid:durableId="1113524649">
    <w:abstractNumId w:val="20"/>
  </w:num>
  <w:num w:numId="9" w16cid:durableId="797140380">
    <w:abstractNumId w:val="12"/>
  </w:num>
  <w:num w:numId="10" w16cid:durableId="1809591194">
    <w:abstractNumId w:val="0"/>
  </w:num>
  <w:num w:numId="11" w16cid:durableId="1775710934">
    <w:abstractNumId w:val="1"/>
  </w:num>
  <w:num w:numId="12" w16cid:durableId="53689134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03527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8956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42939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77951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6349367">
    <w:abstractNumId w:val="11"/>
  </w:num>
  <w:num w:numId="18" w16cid:durableId="1684210913">
    <w:abstractNumId w:val="13"/>
  </w:num>
  <w:num w:numId="19" w16cid:durableId="833839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7377080">
    <w:abstractNumId w:val="12"/>
  </w:num>
  <w:num w:numId="21" w16cid:durableId="1558056022">
    <w:abstractNumId w:val="7"/>
  </w:num>
  <w:num w:numId="22" w16cid:durableId="595676348">
    <w:abstractNumId w:val="10"/>
  </w:num>
  <w:num w:numId="23" w16cid:durableId="1405838893">
    <w:abstractNumId w:val="15"/>
  </w:num>
  <w:num w:numId="24" w16cid:durableId="615137386">
    <w:abstractNumId w:val="16"/>
  </w:num>
  <w:num w:numId="25" w16cid:durableId="887693166">
    <w:abstractNumId w:val="5"/>
  </w:num>
  <w:num w:numId="26" w16cid:durableId="1254048485">
    <w:abstractNumId w:val="9"/>
  </w:num>
  <w:num w:numId="27" w16cid:durableId="695039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2145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2838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03F06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23D2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3D3936"/>
    <w:rsid w:val="00524DB9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1975</Characters>
  <Application>Microsoft Office Word</Application>
  <DocSecurity>0</DocSecurity>
  <Lines>56</Lines>
  <Paragraphs>22</Paragraphs>
  <ScaleCrop>false</ScaleCrop>
  <Company>Shore Educational Collaborative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www.myhealthmath.com/shorecollaborative2023</cp:keywords>
  <dc:description>4 $100 Amazon gift cards</dc:description>
  <cp:lastModifiedBy>Karina Ciulla</cp:lastModifiedBy>
  <cp:revision>3</cp:revision>
  <dcterms:created xsi:type="dcterms:W3CDTF">2022-10-25T17:10:00Z</dcterms:created>
  <dcterms:modified xsi:type="dcterms:W3CDTF">2023-04-28T15:42:00Z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